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8A" w:rsidRPr="0001138A" w:rsidRDefault="0001138A" w:rsidP="0001138A">
      <w:pPr>
        <w:widowControl/>
        <w:jc w:val="center"/>
        <w:rPr>
          <w:rFonts w:ascii="新細明體" w:eastAsia="新細明體" w:hAnsi="新細明體" w:cs="新細明體"/>
          <w:color w:val="6DB02F"/>
          <w:kern w:val="0"/>
          <w:szCs w:val="24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Cs w:val="24"/>
        </w:rPr>
        <w:t>國立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Cs w:val="24"/>
        </w:rPr>
        <w:t>臺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Cs w:val="24"/>
        </w:rPr>
        <w:t>北教育大學台灣文化研究所教師聘任及升等審查要點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 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96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3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14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95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次所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會議通過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96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4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18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95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次院教評會議通過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4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10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96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4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次所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會議修正通過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4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29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96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次院教評會議通過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8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22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次所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務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會議修正通過</w:t>
      </w:r>
    </w:p>
    <w:p w:rsidR="0001138A" w:rsidRPr="0001138A" w:rsidRDefault="0001138A" w:rsidP="0001138A">
      <w:pPr>
        <w:widowControl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年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月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23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日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97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學年度第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學期第</w:t>
      </w:r>
      <w:r w:rsidRPr="0001138A">
        <w:rPr>
          <w:rFonts w:ascii="Arial" w:eastAsia="新細明體" w:hAnsi="Arial" w:cs="Arial"/>
          <w:color w:val="000000"/>
          <w:kern w:val="0"/>
          <w:sz w:val="18"/>
          <w:szCs w:val="18"/>
        </w:rPr>
        <w:t>1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次院教評會議通過</w:t>
      </w:r>
    </w:p>
    <w:p w:rsidR="0001138A" w:rsidRPr="0001138A" w:rsidRDefault="0001138A" w:rsidP="0001138A">
      <w:pPr>
        <w:widowControl/>
        <w:ind w:right="240" w:firstLine="720"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 </w:t>
      </w:r>
    </w:p>
    <w:p w:rsidR="0001138A" w:rsidRPr="0001138A" w:rsidRDefault="0001138A" w:rsidP="0001138A">
      <w:pPr>
        <w:widowControl/>
        <w:ind w:right="240" w:firstLine="720"/>
        <w:jc w:val="right"/>
        <w:rPr>
          <w:rFonts w:ascii="新細明體" w:eastAsia="新細明體" w:hAnsi="新細明體" w:cs="新細明體"/>
          <w:color w:val="6DB02F"/>
          <w:kern w:val="0"/>
          <w:sz w:val="19"/>
          <w:szCs w:val="19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18"/>
          <w:szCs w:val="18"/>
        </w:rPr>
        <w:t> 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一、本要點依據國立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臺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北教育大學教師聘任及升等辦法第3條規定訂定之。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二、本所教師之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遴聘須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有缺額、適當講授課程及足夠上課時數時行之。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三、本所教師之新聘分別依下列原則辦理：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）以教師證書資格初任本校教職，得以教師證書所列之等級聘任之，不得聘為高一等級教師。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（二）以博士學位資格（須持有正式學位證書）初任本校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教職聘為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助理教授。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（三）本所如有特殊需要，得提院、校教師評審委員會議通過後，專案辦理聘任。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四、本所專任教師之聘任：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）經由對外公開甄選方式，由申請人繳交學、經歷，論文及相關著作等資料。必要時，經所教評會同意，得邀請應徵者就擬開設課程之相關研究專長進行專題報告，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俾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供評審之參考。</w:t>
      </w:r>
    </w:p>
    <w:p w:rsidR="0001138A" w:rsidRPr="0001138A" w:rsidRDefault="0001138A" w:rsidP="0001138A">
      <w:pPr>
        <w:widowControl/>
        <w:ind w:firstLine="140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所教評會會議時，須有委員三分之二(含)以上親自出席始得開會，就應徵者進行不記名投票，獲得出席委員二分之一(含)以上同意為通過；通過人數超過規定名額時，以得票數多寡決定；如票數相同，則再行投票決定之。通過後，由所教評會主任委員將擬新聘教師之代表著作（或博士論文）及相關著作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具函以秘密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方式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敦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聘校外具備教授資格之學者專家6人評審，獲4人以上評審及格者，並通過各級教師評審委員會審議。</w:t>
      </w:r>
    </w:p>
    <w:p w:rsidR="0001138A" w:rsidRPr="0001138A" w:rsidRDefault="0001138A" w:rsidP="0001138A">
      <w:pPr>
        <w:widowControl/>
        <w:ind w:right="456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（三）本所教師之聘任，須經各級教師評審委員會審查。</w:t>
      </w:r>
    </w:p>
    <w:p w:rsidR="0001138A" w:rsidRPr="0001138A" w:rsidRDefault="0001138A" w:rsidP="0001138A">
      <w:pPr>
        <w:widowControl/>
        <w:ind w:firstLine="140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（四）本所得延聘研究人員從事研究計畫及專業技術人員擔任教學工作。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五、本所兼任教師之聘任：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）本所兼任教師之資格及聘任得參照本所專任教師之聘任辦理。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（二）兼任教師之新聘，須提所教評會審議投票（投票方式及要件依第4條第2款辦理之）通過後，依法定程序聘任之。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（三）兼任教師之年齡不得超過70歲。如有特殊需要，得提院、校教師評審委員會審議通過後，專案辦理聘任。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兼任教師於本校中斷任教逾4年，本所應重新辦理新聘作業，經各級教師評審委員會審議通過後，始得聘任。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六、初任教師除有特殊情形者外，應於到職3個月內依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規定檢齊證件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及著作辦理資格審查，逾期不送審者，聘約期滿後不予續聘。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lastRenderedPageBreak/>
        <w:t>兼任教師須於本所任教滿6學期，始得以學位（或相等文憑）申請辦理教師證書，惟未滿3個月之課程或班次之兼任教師不予辦理。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七、本所專任教師之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續聘案，須經本所及院教師評審委員會審議，決議結果為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續聘者送由人事室依程序辦理；未經決議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續聘者，視為同意續聘。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續聘、停聘、解聘之教師，經本所及院教師評審委員會審議通過後，將名單及相關資料送人事室簽提本校教師評審委員會審議通過，依程序報請教育部核備。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前項教師評審委員會審議時，得邀請當事人列席說明。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兼任教師之續聘，或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續聘，應由本所教師評審委員會審議通過後，依程序辦理。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八、有下列各款之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一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者不得聘任為教師，已聘任者，應先經本所及院教師評審委員會審議後，送請本校教師評審委員會決審。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）受有期徒刑1年判決確定，未獲宣告緩刑者。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（二）曾服公務因貪污瀆職經判刑確定或通緝有案尚未結案者。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（三）依法停止任用，或受休職處分尚未期滿，或因案停止職務，其原因尚未消滅者。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（四）褫奪公權尚未復權者。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（五）受禁治產之宣告，尚未撤銷者。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（六）行為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不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檢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有損師道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，經有關機關查證屬實者。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（七）經公立醫院證明有精神病者。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（八）教學不力或不能勝任工作，有具體事實或違反聘約情節重大者。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九、本所各級教師申請升等，應符合下列規定：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）講師擬申請升等助理教授者，須曾任講師3年以上表現良好，並應具有相當於博士學位論文之著作。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（二）助理教授申請升等副教授者，須曾任助理教授3年以上，表現良好，並應具有優於博士學位論文之著作。</w:t>
      </w:r>
    </w:p>
    <w:p w:rsidR="0001138A" w:rsidRPr="0001138A" w:rsidRDefault="0001138A" w:rsidP="0001138A">
      <w:pPr>
        <w:widowControl/>
        <w:ind w:left="113" w:right="336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（三）副教授擬申請升等教授者，須曾任副教授3年以上，表現良好，並應具有與學術獎勵之專門著作價值相當之著作。</w:t>
      </w:r>
    </w:p>
    <w:p w:rsidR="0001138A" w:rsidRPr="0001138A" w:rsidRDefault="0001138A" w:rsidP="0001138A">
      <w:pPr>
        <w:widowControl/>
        <w:ind w:left="113" w:right="336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（四）教師升等服務年資之計算以教育部頒發教師證書上記載起算年月為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準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，計算至提出升等申請時為止。此期間教師於國內外研究、進修或講學未能履行專任教師職務達半年以上者，其年資不予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採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計。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本</w:t>
      </w:r>
      <w:r w:rsidRPr="0001138A">
        <w:rPr>
          <w:rFonts w:ascii="標楷體" w:eastAsia="標楷體" w:hAnsi="標楷體" w:cs="新細明體" w:hint="eastAsia"/>
          <w:color w:val="000000"/>
          <w:spacing w:val="-14"/>
          <w:kern w:val="0"/>
          <w:sz w:val="22"/>
        </w:rPr>
        <w:t>條文所述表現良好係指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通過本校教師評鑑，</w:t>
      </w:r>
      <w:r w:rsidRPr="0001138A">
        <w:rPr>
          <w:rFonts w:ascii="標楷體" w:eastAsia="標楷體" w:hAnsi="標楷體" w:cs="新細明體" w:hint="eastAsia"/>
          <w:color w:val="000000"/>
          <w:spacing w:val="-14"/>
          <w:kern w:val="0"/>
          <w:sz w:val="22"/>
        </w:rPr>
        <w:t>並於生活品德上無不良紀錄者。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、在本所任職之兼任教師，得於獲得博士學位證書，或取得較高職級教師證書後，檢附「學位證書」或學校出具之正式證明文件，經各級教師評審委員會審查通過後，改聘相當等級教師，但仍應受編制員額及授課時數限制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十一、本所教師辦理升等程序如下：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擬申請升等教師應於每年3月20日、9月20日前填妥「教師升等申請表」（含教學服務成績考核評分表）1份，連同最近5年內出版之升等主要著作及參考著作、相關資料，連同有關附件（一式3份）送交本所，本所應於5月20日、11月20日前召開教師評審委員會並依本所教師聘任及升等辦法之規定，審議升等事宜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lastRenderedPageBreak/>
        <w:t>（二）</w:t>
      </w:r>
      <w:r w:rsidRPr="0001138A">
        <w:rPr>
          <w:rFonts w:ascii="標楷體" w:eastAsia="標楷體" w:hAnsi="標楷體" w:cs="新細明體" w:hint="eastAsia"/>
          <w:color w:val="000000"/>
          <w:spacing w:val="-10"/>
          <w:kern w:val="0"/>
          <w:sz w:val="22"/>
        </w:rPr>
        <w:t>本所不辦理著作外審，僅就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教學服務成績進行考核評分</w:t>
      </w:r>
      <w:r w:rsidRPr="0001138A">
        <w:rPr>
          <w:rFonts w:ascii="標楷體" w:eastAsia="標楷體" w:hAnsi="標楷體" w:cs="新細明體" w:hint="eastAsia"/>
          <w:color w:val="000000"/>
          <w:spacing w:val="-10"/>
          <w:kern w:val="0"/>
          <w:sz w:val="22"/>
        </w:rPr>
        <w:t>。教師教學服務成績須達70分，且獲得出席委員三分之二（含）以上同意為通過。通過者再提院教評會審議。如不同意</w:t>
      </w: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升等時，應提出具體理由，並通知當事人。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（三）本所教評會推薦之校外學者專家審查參考名單5至7人，連同著作及所附相關資料，於5月30日、11月30日前送院教評會。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（四）升等申請者得提出不欲接受審查之迴避人選1至2人。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前項教學服務成績依照本所教師教學服務成績考核標準表審查之。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十二、本所教師對所教評會升等(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含改聘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)案件審查結果若有疑義，得於收到決議通知後，30日內檢具有關資料向所教評會提出書面申訴，申訴以1次為限。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當事人如已</w:t>
      </w:r>
      <w:proofErr w:type="gramStart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逕</w:t>
      </w:r>
      <w:proofErr w:type="gramEnd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向本校教師申訴評議委員會提出申訴，則不得再向教師評審委員會申請</w:t>
      </w:r>
      <w:proofErr w:type="gramStart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複</w:t>
      </w:r>
      <w:proofErr w:type="gramEnd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審，已進行中之</w:t>
      </w:r>
      <w:proofErr w:type="gramStart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複</w:t>
      </w:r>
      <w:proofErr w:type="gramEnd"/>
      <w:r w:rsidRPr="0001138A">
        <w:rPr>
          <w:rFonts w:ascii="標楷體" w:eastAsia="標楷體" w:hAnsi="標楷體" w:cs="新細明體" w:hint="eastAsia"/>
          <w:b/>
          <w:bCs/>
          <w:color w:val="000000"/>
          <w:kern w:val="0"/>
          <w:sz w:val="22"/>
          <w:u w:val="single"/>
        </w:rPr>
        <w:t>審案亦應停止審議。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十三、本所教師有下列情形之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一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者，不得參加升等或改聘：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）在國內外進修、研究、講學等，而未履行專任職務達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學期以上；返校任職未滿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學期者。但在國內外進修、研究、講學前已在本所擔任同級教師3年以上者，得不受此款限制。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（二）借調其他機關服務，而未能履行專任教師之職責達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學期以上；於返校任職未滿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學期者。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（三）品德或其他方面有重大瑕疵而引起非議者。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（四）在參加升等之學年度內，延長病假達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ㄧ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學期者。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（五）任職本校未滿一學期或於提出申請升等之該學期出國進修、研究者。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（六）未通過本校教師評鑑者。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十四、所教評會委員，如參與審查本身或親屬有關之事項時，應自行迴避。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十五、本要點未盡事宜，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均依本校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教師聘任及升等辦法有關規定辦理之。</w:t>
      </w:r>
    </w:p>
    <w:p w:rsidR="0001138A" w:rsidRPr="0001138A" w:rsidRDefault="0001138A" w:rsidP="0001138A">
      <w:pPr>
        <w:widowControl/>
        <w:jc w:val="center"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新細明體" w:eastAsia="新細明體" w:hAnsi="新細明體" w:cs="新細明體"/>
          <w:color w:val="000000"/>
          <w:kern w:val="0"/>
          <w:sz w:val="22"/>
        </w:rPr>
        <w:t> </w:t>
      </w:r>
    </w:p>
    <w:p w:rsidR="0001138A" w:rsidRPr="0001138A" w:rsidRDefault="0001138A" w:rsidP="0001138A">
      <w:pPr>
        <w:widowControl/>
        <w:rPr>
          <w:rFonts w:ascii="新細明體" w:eastAsia="新細明體" w:hAnsi="新細明體" w:cs="新細明體"/>
          <w:color w:val="6DB02F"/>
          <w:kern w:val="0"/>
          <w:sz w:val="22"/>
        </w:rPr>
      </w:pPr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十六、本要點經所</w:t>
      </w:r>
      <w:proofErr w:type="gramStart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務</w:t>
      </w:r>
      <w:proofErr w:type="gramEnd"/>
      <w:r w:rsidRPr="0001138A">
        <w:rPr>
          <w:rFonts w:ascii="標楷體" w:eastAsia="標楷體" w:hAnsi="標楷體" w:cs="新細明體" w:hint="eastAsia"/>
          <w:color w:val="000000"/>
          <w:kern w:val="0"/>
          <w:sz w:val="22"/>
        </w:rPr>
        <w:t>會議通過後，報院教師評審委員會備查，並經校長核定施行。</w:t>
      </w:r>
    </w:p>
    <w:p w:rsidR="00BE24D2" w:rsidRPr="0001138A" w:rsidRDefault="00BE24D2" w:rsidP="0001138A"/>
    <w:sectPr w:rsidR="00BE24D2" w:rsidRPr="0001138A" w:rsidSect="00BE24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629"/>
    <w:rsid w:val="0001138A"/>
    <w:rsid w:val="007C4C6C"/>
    <w:rsid w:val="00874FA3"/>
    <w:rsid w:val="00BD0E17"/>
    <w:rsid w:val="00BE24D2"/>
    <w:rsid w:val="00CF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D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4317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313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466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463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480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247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136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51197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408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445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7245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761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066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02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2390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499">
          <w:marLeft w:val="5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444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1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269819">
                          <w:marLeft w:val="0"/>
                          <w:marRight w:val="0"/>
                          <w:marTop w:val="0"/>
                          <w:marBottom w:val="4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3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854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2372</Characters>
  <Application>Microsoft Office Word</Application>
  <DocSecurity>0</DocSecurity>
  <Lines>19</Lines>
  <Paragraphs>5</Paragraphs>
  <ScaleCrop>false</ScaleCrop>
  <Company>C.M.T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柯治廷</dc:creator>
  <cp:lastModifiedBy>柯治廷</cp:lastModifiedBy>
  <cp:revision>2</cp:revision>
  <dcterms:created xsi:type="dcterms:W3CDTF">2019-04-17T02:00:00Z</dcterms:created>
  <dcterms:modified xsi:type="dcterms:W3CDTF">2019-04-17T02:00:00Z</dcterms:modified>
</cp:coreProperties>
</file>